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03F" w:rsidRDefault="0035003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5003F" w:rsidRDefault="0035003F">
      <w:pPr>
        <w:pStyle w:val="ConsPlusNormal"/>
        <w:jc w:val="both"/>
        <w:outlineLvl w:val="0"/>
      </w:pPr>
    </w:p>
    <w:p w:rsidR="0035003F" w:rsidRDefault="0035003F">
      <w:pPr>
        <w:pStyle w:val="ConsPlusTitle"/>
        <w:jc w:val="center"/>
        <w:outlineLvl w:val="0"/>
      </w:pPr>
      <w:r>
        <w:t>ПРАВИТЕЛЬСТВО ПЕРМСКОГО КРАЯ</w:t>
      </w:r>
    </w:p>
    <w:p w:rsidR="0035003F" w:rsidRDefault="0035003F">
      <w:pPr>
        <w:pStyle w:val="ConsPlusTitle"/>
        <w:jc w:val="center"/>
      </w:pPr>
    </w:p>
    <w:p w:rsidR="0035003F" w:rsidRDefault="0035003F">
      <w:pPr>
        <w:pStyle w:val="ConsPlusTitle"/>
        <w:jc w:val="center"/>
      </w:pPr>
      <w:r>
        <w:t>ПОСТАНОВЛЕНИЕ</w:t>
      </w:r>
    </w:p>
    <w:p w:rsidR="0035003F" w:rsidRDefault="0035003F">
      <w:pPr>
        <w:pStyle w:val="ConsPlusTitle"/>
        <w:jc w:val="center"/>
      </w:pPr>
      <w:proofErr w:type="gramStart"/>
      <w:r>
        <w:t>от</w:t>
      </w:r>
      <w:proofErr w:type="gramEnd"/>
      <w:r>
        <w:t xml:space="preserve"> 20 апреля 2022 г. N 334-п</w:t>
      </w:r>
    </w:p>
    <w:p w:rsidR="0035003F" w:rsidRDefault="0035003F">
      <w:pPr>
        <w:pStyle w:val="ConsPlusTitle"/>
        <w:jc w:val="center"/>
      </w:pPr>
    </w:p>
    <w:p w:rsidR="0035003F" w:rsidRDefault="0035003F">
      <w:pPr>
        <w:pStyle w:val="ConsPlusTitle"/>
        <w:jc w:val="center"/>
      </w:pPr>
      <w:r>
        <w:t>ОБ УТВЕРЖДЕНИИ ГРАНИЦ ЗОНЫ ОХРАНЫ ОБЪЕКТА КУЛЬТУРНОГО</w:t>
      </w:r>
    </w:p>
    <w:p w:rsidR="0035003F" w:rsidRDefault="0035003F">
      <w:pPr>
        <w:pStyle w:val="ConsPlusTitle"/>
        <w:jc w:val="center"/>
      </w:pPr>
      <w:r>
        <w:t>НАСЛЕДИЯ РЕГИОНАЛЬНОГО ЗНАЧЕНИЯ - ПАМЯТНИКА "УЧИЛИЩЕ ЖЕНСКОЕ</w:t>
      </w:r>
    </w:p>
    <w:p w:rsidR="0035003F" w:rsidRDefault="0035003F">
      <w:pPr>
        <w:pStyle w:val="ConsPlusTitle"/>
        <w:jc w:val="center"/>
      </w:pPr>
      <w:r>
        <w:t>НАЧАЛЬНОЕ", РАСПОЛОЖЕННОГО ПО АДРЕСУ: ПЕРМСКИЙ</w:t>
      </w:r>
    </w:p>
    <w:p w:rsidR="0035003F" w:rsidRDefault="0035003F">
      <w:pPr>
        <w:pStyle w:val="ConsPlusTitle"/>
        <w:jc w:val="center"/>
      </w:pPr>
      <w:r>
        <w:t>КРАЙ, Г. ПЕРМЬ, УЛ. ПОПОВА, Д. 50, А ТАКЖЕ РЕЖИМОВ</w:t>
      </w:r>
    </w:p>
    <w:p w:rsidR="0035003F" w:rsidRDefault="0035003F">
      <w:pPr>
        <w:pStyle w:val="ConsPlusTitle"/>
        <w:jc w:val="center"/>
      </w:pPr>
      <w:r>
        <w:t>ИСПОЛЬЗОВАНИЯ ЗЕМЕЛЬ, ЗЕМЕЛЬНЫХ УЧАСТКОВ И ТРЕБОВАНИЙ</w:t>
      </w:r>
    </w:p>
    <w:p w:rsidR="0035003F" w:rsidRDefault="0035003F">
      <w:pPr>
        <w:pStyle w:val="ConsPlusTitle"/>
        <w:jc w:val="center"/>
      </w:pPr>
      <w:r>
        <w:t>К ГРАДОСТРОИТЕЛЬНЫМ РЕГЛАМЕНТАМ В ГРАНИЦАХ ДАННОЙ ЗОНЫ</w:t>
      </w:r>
    </w:p>
    <w:p w:rsidR="0035003F" w:rsidRDefault="0035003F">
      <w:pPr>
        <w:pStyle w:val="ConsPlusTitle"/>
        <w:jc w:val="center"/>
      </w:pPr>
      <w:r>
        <w:t>И О ВНЕСЕНИИ ИЗМЕНЕНИЙ В ПОСТАНОВЛЕНИЕ ПРАВИТЕЛЬСТВА</w:t>
      </w:r>
    </w:p>
    <w:p w:rsidR="0035003F" w:rsidRDefault="0035003F">
      <w:pPr>
        <w:pStyle w:val="ConsPlusTitle"/>
        <w:jc w:val="center"/>
      </w:pPr>
      <w:r>
        <w:t>ПЕРМСКОГО КРАЯ ОТ 04 ИЮЛЯ 2016 Г. N 434-П "ОБ УТВЕРЖДЕНИИ</w:t>
      </w:r>
    </w:p>
    <w:p w:rsidR="0035003F" w:rsidRDefault="0035003F">
      <w:pPr>
        <w:pStyle w:val="ConsPlusTitle"/>
        <w:jc w:val="center"/>
      </w:pPr>
      <w:r>
        <w:t>ГРАНИЦ ЗОН ОХРАНЫ ОБЪЕКТОВ КУЛЬТУРНОГО НАСЛЕДИЯ,</w:t>
      </w:r>
    </w:p>
    <w:p w:rsidR="0035003F" w:rsidRDefault="0035003F">
      <w:pPr>
        <w:pStyle w:val="ConsPlusTitle"/>
        <w:jc w:val="center"/>
      </w:pPr>
      <w:r>
        <w:t>РАСПОЛОЖЕННЫХ НА ТЕРРИТОРИИ ЛЕНИНСКОГО И СВЕРДЛОВСКОГО</w:t>
      </w:r>
    </w:p>
    <w:p w:rsidR="0035003F" w:rsidRDefault="0035003F">
      <w:pPr>
        <w:pStyle w:val="ConsPlusTitle"/>
        <w:jc w:val="center"/>
      </w:pPr>
      <w:r>
        <w:t>РАЙОНОВ Г. ПЕРМИ, ОГРАНИЧЕННОЙ УЛИЦАМИ РЕВОЛЮЦИИ, ПОПОВА,</w:t>
      </w:r>
    </w:p>
    <w:p w:rsidR="0035003F" w:rsidRDefault="0035003F">
      <w:pPr>
        <w:pStyle w:val="ConsPlusTitle"/>
        <w:jc w:val="center"/>
      </w:pPr>
      <w:r>
        <w:t>ПЕРМСКОЙ, КУЙБЫШЕВА, А ТАКЖЕ РЕЖИМОВ ИСПОЛЬЗОВАНИЯ ЗЕМЕЛЬ</w:t>
      </w:r>
    </w:p>
    <w:p w:rsidR="0035003F" w:rsidRDefault="0035003F">
      <w:pPr>
        <w:pStyle w:val="ConsPlusTitle"/>
        <w:jc w:val="center"/>
      </w:pPr>
      <w:r>
        <w:t>И ТРЕБОВАНИЙ К ГРАДОСТРОИТЕЛЬНЫМ РЕГЛАМЕНТАМ В ГРАНИЦАХ</w:t>
      </w:r>
    </w:p>
    <w:p w:rsidR="0035003F" w:rsidRDefault="0035003F">
      <w:pPr>
        <w:pStyle w:val="ConsPlusTitle"/>
        <w:jc w:val="center"/>
      </w:pPr>
      <w:r>
        <w:t>ДАННЫХ ЗОН"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>
        <w:r>
          <w:rPr>
            <w:color w:val="0000FF"/>
          </w:rPr>
          <w:t>Законом</w:t>
        </w:r>
      </w:hyperlink>
      <w:r>
        <w:t xml:space="preserve"> Пермского края от 07 июля 2009 г. N 451-ПК "Об объектах культурного наследия (памятниках истории и культуры) народов Российской Федерации, расположенных на территории Пермского края" Правительство Пермского края постановляет: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9">
        <w:r>
          <w:rPr>
            <w:color w:val="0000FF"/>
          </w:rPr>
          <w:t>границы</w:t>
        </w:r>
      </w:hyperlink>
      <w:r>
        <w:t xml:space="preserve"> зоны охраны объекта культурного наследия регионального значения - памятника "Училище женское начальное", расположенного по адресу: Пермский край, г. Пермь, ул. Попова, д. 50, а также режимы использования земель, земельных участков и требования к градостроительным регламентам в границах данной зоны.</w:t>
      </w:r>
    </w:p>
    <w:p w:rsidR="0035003F" w:rsidRDefault="0035003F">
      <w:pPr>
        <w:pStyle w:val="ConsPlusNormal"/>
        <w:spacing w:before="220"/>
        <w:ind w:firstLine="540"/>
        <w:jc w:val="both"/>
      </w:pPr>
      <w:bookmarkStart w:id="0" w:name="P24"/>
      <w:bookmarkEnd w:id="0"/>
      <w:r>
        <w:t xml:space="preserve">2. Определить Государственную инспекцию по охране объектов культурного наследия Пермского края уполномоченным исполнительным органом государственной власти Пермского края по возмещению убытков лицам, указанным в </w:t>
      </w:r>
      <w:hyperlink r:id="rId8">
        <w:r>
          <w:rPr>
            <w:color w:val="0000FF"/>
          </w:rPr>
          <w:t>пункте 2 статьи 57.1</w:t>
        </w:r>
      </w:hyperlink>
      <w:r>
        <w:t xml:space="preserve"> Земельного кодекса Российской Федерации, причиненных в связи с установлением границы зоны охраны объекта культурного наследия.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 xml:space="preserve">3. Убытки, указанные в </w:t>
      </w:r>
      <w:hyperlink w:anchor="P24">
        <w:r>
          <w:rPr>
            <w:color w:val="0000FF"/>
          </w:rPr>
          <w:t>пункте 2</w:t>
        </w:r>
      </w:hyperlink>
      <w:r>
        <w:t xml:space="preserve"> настоящего постановления, возмещаются в сроки, установленные Земельным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04 июля 2016 г. N 434-п "Об утверждении границ зон охраны объектов культурного наследия, расположенных на территории Ленинского и Свердловского районов г. Перми, ограниченной улицами Революции, Попова, Пермской, Куйбышева, а также режимов использования земель и требований к градостроительным регламентам в границах данных зон" (в редакции постановления Правительства Пермского края от 26 марта 2020 г. N 152-п) следующие изменения: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lastRenderedPageBreak/>
        <w:t>4.1</w:t>
      </w:r>
      <w:proofErr w:type="gramStart"/>
      <w:r>
        <w:t>. в</w:t>
      </w:r>
      <w:proofErr w:type="gramEnd"/>
      <w:r>
        <w:t xml:space="preserve"> </w:t>
      </w:r>
      <w:hyperlink r:id="rId11">
        <w:r>
          <w:rPr>
            <w:color w:val="0000FF"/>
          </w:rPr>
          <w:t>пункте 5</w:t>
        </w:r>
      </w:hyperlink>
      <w:r>
        <w:t xml:space="preserve"> слова ", спорта и туризма" заменить словами "и спорта";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4.2</w:t>
      </w:r>
      <w:proofErr w:type="gramStart"/>
      <w:r>
        <w:t>. в</w:t>
      </w:r>
      <w:proofErr w:type="gramEnd"/>
      <w:r>
        <w:t xml:space="preserve"> </w:t>
      </w:r>
      <w:hyperlink r:id="rId12">
        <w:r>
          <w:rPr>
            <w:color w:val="0000FF"/>
          </w:rPr>
          <w:t>границах</w:t>
        </w:r>
      </w:hyperlink>
      <w:r>
        <w:t xml:space="preserve"> зон охраны объектов культурного наследия, расположенных на территории Ленинского и Свердловского районов г. Перми, ограниченной улицами Революции, Попова, Пермской, Куйбышева, а также режимах использования земель и требованиях к градостроительным регламентам в границах данных зон: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4.2.1</w:t>
      </w:r>
      <w:proofErr w:type="gramStart"/>
      <w:r>
        <w:t xml:space="preserve">. </w:t>
      </w:r>
      <w:hyperlink r:id="rId13">
        <w:r>
          <w:rPr>
            <w:color w:val="0000FF"/>
          </w:rPr>
          <w:t>подраздел</w:t>
        </w:r>
        <w:proofErr w:type="gramEnd"/>
        <w:r>
          <w:rPr>
            <w:color w:val="0000FF"/>
          </w:rPr>
          <w:t xml:space="preserve"> 1.2</w:t>
        </w:r>
      </w:hyperlink>
      <w:r>
        <w:t xml:space="preserve"> признать утратившим силу;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4.2.2</w:t>
      </w:r>
      <w:proofErr w:type="gramStart"/>
      <w:r>
        <w:t xml:space="preserve">. </w:t>
      </w:r>
      <w:hyperlink r:id="rId14">
        <w:r>
          <w:rPr>
            <w:color w:val="0000FF"/>
          </w:rPr>
          <w:t>подраздел</w:t>
        </w:r>
        <w:proofErr w:type="gramEnd"/>
        <w:r>
          <w:rPr>
            <w:color w:val="0000FF"/>
          </w:rPr>
          <w:t xml:space="preserve"> 2.2</w:t>
        </w:r>
      </w:hyperlink>
      <w:r>
        <w:t xml:space="preserve"> признать утратившим силу;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4.2.3</w:t>
      </w:r>
      <w:proofErr w:type="gramStart"/>
      <w:r>
        <w:t xml:space="preserve">. </w:t>
      </w:r>
      <w:hyperlink r:id="rId15">
        <w:r>
          <w:rPr>
            <w:color w:val="0000FF"/>
          </w:rPr>
          <w:t>абзац</w:t>
        </w:r>
        <w:proofErr w:type="gramEnd"/>
        <w:r>
          <w:rPr>
            <w:color w:val="0000FF"/>
          </w:rPr>
          <w:t xml:space="preserve"> двенадцатый подраздела 2.9</w:t>
        </w:r>
      </w:hyperlink>
      <w:r>
        <w:t xml:space="preserve"> признать утратившим силу;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4.2.4</w:t>
      </w:r>
      <w:proofErr w:type="gramStart"/>
      <w:r>
        <w:t xml:space="preserve">. </w:t>
      </w:r>
      <w:hyperlink r:id="rId16">
        <w:r>
          <w:rPr>
            <w:color w:val="0000FF"/>
          </w:rPr>
          <w:t>приложение</w:t>
        </w:r>
        <w:proofErr w:type="gramEnd"/>
        <w:r>
          <w:rPr>
            <w:color w:val="0000FF"/>
          </w:rPr>
          <w:t xml:space="preserve"> 1</w:t>
        </w:r>
      </w:hyperlink>
      <w:r>
        <w:t xml:space="preserve"> изложить в редакции согласно </w:t>
      </w:r>
      <w:hyperlink w:anchor="P566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5. Настоящее постановление вступает в силу через 10 дней после дня его официального опубликования.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6. Контроль за исполнением постановления возложить на заместителя председателя Правительства Пермского края (по вопросам образования, культуры и спорта).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right"/>
      </w:pPr>
      <w:r>
        <w:t>Губернатор Пермского края</w:t>
      </w:r>
    </w:p>
    <w:p w:rsidR="0035003F" w:rsidRDefault="0035003F">
      <w:pPr>
        <w:pStyle w:val="ConsPlusNormal"/>
        <w:jc w:val="right"/>
      </w:pPr>
      <w:r>
        <w:t>Д.Н.МАХОНИН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right"/>
        <w:outlineLvl w:val="0"/>
      </w:pPr>
      <w:r>
        <w:t>УТВЕРЖДЕНЫ</w:t>
      </w:r>
    </w:p>
    <w:p w:rsidR="0035003F" w:rsidRDefault="0035003F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35003F" w:rsidRDefault="0035003F">
      <w:pPr>
        <w:pStyle w:val="ConsPlusNormal"/>
        <w:jc w:val="right"/>
      </w:pPr>
      <w:r>
        <w:t>Правительства</w:t>
      </w:r>
    </w:p>
    <w:p w:rsidR="0035003F" w:rsidRDefault="0035003F">
      <w:pPr>
        <w:pStyle w:val="ConsPlusNormal"/>
        <w:jc w:val="right"/>
      </w:pPr>
      <w:r>
        <w:t>Пермского края</w:t>
      </w:r>
    </w:p>
    <w:p w:rsidR="0035003F" w:rsidRDefault="0035003F">
      <w:pPr>
        <w:pStyle w:val="ConsPlusNormal"/>
        <w:jc w:val="right"/>
      </w:pPr>
      <w:proofErr w:type="gramStart"/>
      <w:r>
        <w:t>от</w:t>
      </w:r>
      <w:proofErr w:type="gramEnd"/>
      <w:r>
        <w:t xml:space="preserve"> 20.04.2022 N 334-п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Title"/>
        <w:jc w:val="center"/>
      </w:pPr>
      <w:bookmarkStart w:id="1" w:name="P49"/>
      <w:bookmarkEnd w:id="1"/>
      <w:r>
        <w:t>ГРАНИЦЫ</w:t>
      </w:r>
    </w:p>
    <w:p w:rsidR="0035003F" w:rsidRDefault="0035003F">
      <w:pPr>
        <w:pStyle w:val="ConsPlusTitle"/>
        <w:jc w:val="center"/>
      </w:pPr>
      <w:r>
        <w:t>ЗОНЫ ОХРАНЫ ОБЪЕКТА КУЛЬТУРНОГО НАСЛЕДИЯ РЕГИОНАЛЬНОГО</w:t>
      </w:r>
    </w:p>
    <w:p w:rsidR="0035003F" w:rsidRDefault="0035003F">
      <w:pPr>
        <w:pStyle w:val="ConsPlusTitle"/>
        <w:jc w:val="center"/>
      </w:pPr>
      <w:r>
        <w:t>ЗНАЧЕНИЯ - ПАМЯТНИКА "УЧИЛИЩЕ ЖЕНСКОЕ НАЧАЛЬНОЕ",</w:t>
      </w:r>
    </w:p>
    <w:p w:rsidR="0035003F" w:rsidRDefault="0035003F">
      <w:pPr>
        <w:pStyle w:val="ConsPlusTitle"/>
        <w:jc w:val="center"/>
      </w:pPr>
      <w:r>
        <w:t>РАСПОЛОЖЕННОГО ПО АДРЕСУ: ПЕРМСКИЙ КРАЙ, Г. ПЕРМЬ,</w:t>
      </w:r>
    </w:p>
    <w:p w:rsidR="0035003F" w:rsidRDefault="0035003F">
      <w:pPr>
        <w:pStyle w:val="ConsPlusTitle"/>
        <w:jc w:val="center"/>
      </w:pPr>
      <w:r>
        <w:t>УЛ. ПОПОВА, Д. 50, А ТАКЖЕ РЕЖИМЫ ИСПОЛЬЗОВАНИЯ ЗЕМЕЛЬ,</w:t>
      </w:r>
    </w:p>
    <w:p w:rsidR="0035003F" w:rsidRDefault="0035003F">
      <w:pPr>
        <w:pStyle w:val="ConsPlusTitle"/>
        <w:jc w:val="center"/>
      </w:pPr>
      <w:r>
        <w:t>ЗЕМЕЛЬНЫХ УЧАСТКОВ И ТРЕБОВАНИЯ К ГРАДОСТРОИТЕЛЬНЫМ</w:t>
      </w:r>
    </w:p>
    <w:p w:rsidR="0035003F" w:rsidRDefault="0035003F">
      <w:pPr>
        <w:pStyle w:val="ConsPlusTitle"/>
        <w:jc w:val="center"/>
      </w:pPr>
      <w:r>
        <w:t>РЕГЛАМЕНТАМ В ГРАНИЦАХ ДАННОЙ ЗОНЫ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Title"/>
        <w:jc w:val="center"/>
        <w:outlineLvl w:val="1"/>
      </w:pPr>
      <w:r>
        <w:t>I. Границы зоны охраны объекта культурного наследия</w:t>
      </w:r>
    </w:p>
    <w:p w:rsidR="0035003F" w:rsidRDefault="0035003F">
      <w:pPr>
        <w:pStyle w:val="ConsPlusTitle"/>
        <w:jc w:val="center"/>
      </w:pPr>
      <w:proofErr w:type="gramStart"/>
      <w:r>
        <w:t>регионального</w:t>
      </w:r>
      <w:proofErr w:type="gramEnd"/>
      <w:r>
        <w:t xml:space="preserve"> значения - памятника "Училище женское</w:t>
      </w:r>
    </w:p>
    <w:p w:rsidR="0035003F" w:rsidRDefault="0035003F">
      <w:pPr>
        <w:pStyle w:val="ConsPlusTitle"/>
        <w:jc w:val="center"/>
      </w:pPr>
      <w:proofErr w:type="gramStart"/>
      <w:r>
        <w:t>начальное</w:t>
      </w:r>
      <w:proofErr w:type="gramEnd"/>
      <w:r>
        <w:t>"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>1.1. Зона регулирования застройки и хозяйственной деятельности (ЗРЗ-49И) устанавливается в следующих границах - южная, западная и северная границы кадастрового квартала N 59:01:4410123, восточная граница земельного участка с кадастровым номером 59:01:4410123:25, условная линия, продолжающая северный фасад здания по ул. Луначарского, 74, восточный фасад здания по ул. Луначарского, 74.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35003F" w:rsidRDefault="0035003F">
      <w:pPr>
        <w:pStyle w:val="ConsPlusNormal"/>
        <w:jc w:val="center"/>
      </w:pPr>
      <w:r>
        <w:t>МСК-59</w:t>
      </w:r>
    </w:p>
    <w:p w:rsidR="0035003F" w:rsidRDefault="003500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628"/>
        <w:gridCol w:w="4706"/>
      </w:tblGrid>
      <w:tr w:rsidR="0035003F">
        <w:tc>
          <w:tcPr>
            <w:tcW w:w="737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28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706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Y</w:t>
            </w:r>
          </w:p>
        </w:tc>
      </w:tr>
      <w:tr w:rsidR="0035003F">
        <w:tc>
          <w:tcPr>
            <w:tcW w:w="737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6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3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517406,3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2231091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517423,5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2231142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517436,7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2231182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517454,9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2231236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517444,9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2231239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517430,6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2231244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517394,1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2231256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517399,2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2231273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517390,5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2231275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517390,7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2231276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517391,7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2231278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517392,9</w:t>
            </w:r>
          </w:p>
        </w:tc>
        <w:tc>
          <w:tcPr>
            <w:tcW w:w="4706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2231283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517393,7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2231286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517394,4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2231288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517394,7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2231290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517376,3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2231297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517374,1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2231298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517374,7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2231300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517371,5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2231301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517370,9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2231299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517341,9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2231309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517342,1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2231309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517332,3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2231312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517332,1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2231312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517300,2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2231322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517245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2231141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517375,3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2231101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lastRenderedPageBreak/>
              <w:t>42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517406,3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2231091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517353,7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2231120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517381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2231206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517355,1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2231214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517343,1</w:t>
            </w:r>
          </w:p>
        </w:tc>
        <w:tc>
          <w:tcPr>
            <w:tcW w:w="4706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2231179</w:t>
            </w:r>
          </w:p>
        </w:tc>
      </w:tr>
      <w:tr w:rsidR="0035003F">
        <w:tc>
          <w:tcPr>
            <w:tcW w:w="73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517277,6</w:t>
            </w:r>
          </w:p>
        </w:tc>
        <w:tc>
          <w:tcPr>
            <w:tcW w:w="4706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2231201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517261,7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2231150</w:t>
            </w:r>
          </w:p>
        </w:tc>
      </w:tr>
      <w:tr w:rsidR="0035003F">
        <w:tc>
          <w:tcPr>
            <w:tcW w:w="737" w:type="dxa"/>
          </w:tcPr>
          <w:p w:rsidR="0035003F" w:rsidRDefault="0035003F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517353,7</w:t>
            </w:r>
          </w:p>
        </w:tc>
        <w:tc>
          <w:tcPr>
            <w:tcW w:w="4706" w:type="dxa"/>
          </w:tcPr>
          <w:p w:rsidR="0035003F" w:rsidRDefault="0035003F">
            <w:pPr>
              <w:pStyle w:val="ConsPlusNormal"/>
              <w:jc w:val="center"/>
            </w:pPr>
            <w:r>
              <w:t>2231120</w:t>
            </w:r>
          </w:p>
        </w:tc>
      </w:tr>
    </w:tbl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>1.2. Зона регулирования застройки и хозяйственной деятельности ЗРЗ-49И состоит из следующих подзон: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1.2.1</w:t>
      </w:r>
      <w:proofErr w:type="gramStart"/>
      <w:r>
        <w:t>. подзона</w:t>
      </w:r>
      <w:proofErr w:type="gramEnd"/>
      <w:r>
        <w:t xml:space="preserve"> 1 (ЗРЗ-49И-1) устанавливается по южной и западной границам кадастрового квартала N 59:01:4410123, восточной границе территории памятника, северной границе земельного участка с кадастровым номером 59:01:4410123:3, восточному фасаду здания по ул. Луначарского, 74, а также в границах земельного участка с кадастровым номером 59:01:4410123:1191.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35003F" w:rsidRDefault="0035003F">
      <w:pPr>
        <w:pStyle w:val="ConsPlusNormal"/>
        <w:jc w:val="center"/>
      </w:pPr>
      <w:r>
        <w:t>МСК-59</w:t>
      </w:r>
    </w:p>
    <w:p w:rsidR="0035003F" w:rsidRDefault="003500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3628"/>
        <w:gridCol w:w="4535"/>
      </w:tblGrid>
      <w:tr w:rsidR="0035003F">
        <w:tc>
          <w:tcPr>
            <w:tcW w:w="907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28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35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Y</w:t>
            </w:r>
          </w:p>
        </w:tc>
      </w:tr>
      <w:tr w:rsidR="0035003F">
        <w:tc>
          <w:tcPr>
            <w:tcW w:w="907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5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3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517375,3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2231101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517378,9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2231111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517381,7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2231119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517385,3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2231130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517378,2</w:t>
            </w:r>
          </w:p>
        </w:tc>
        <w:tc>
          <w:tcPr>
            <w:tcW w:w="453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2231132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517375,5</w:t>
            </w:r>
          </w:p>
        </w:tc>
        <w:tc>
          <w:tcPr>
            <w:tcW w:w="453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2231133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517375,1</w:t>
            </w:r>
          </w:p>
        </w:tc>
        <w:tc>
          <w:tcPr>
            <w:tcW w:w="453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2231133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517359,5</w:t>
            </w:r>
          </w:p>
        </w:tc>
        <w:tc>
          <w:tcPr>
            <w:tcW w:w="453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2231138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517353,7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2231120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517261,7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2231150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517277,6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2231201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517343,1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2231179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517355,1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2231214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517357,4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2231213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517363,3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2231231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517334,4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2231241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517345,7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2231274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517375,4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2231263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517381,2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2231279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517390,5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2231275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517390,7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2231276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517391,7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2231278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517392,3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2231281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517392,9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2231283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517393,7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2231286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517394,4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2231288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517394,7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2231290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517376,3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2231297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517374,1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2231298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517374,7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2231300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517371,5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2231301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517370,9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2231299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517341,9</w:t>
            </w:r>
          </w:p>
        </w:tc>
        <w:tc>
          <w:tcPr>
            <w:tcW w:w="453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2231309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517342,1</w:t>
            </w:r>
          </w:p>
        </w:tc>
        <w:tc>
          <w:tcPr>
            <w:tcW w:w="453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2231309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517332,3</w:t>
            </w:r>
          </w:p>
        </w:tc>
        <w:tc>
          <w:tcPr>
            <w:tcW w:w="453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2231312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517332,1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2231312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517328,3</w:t>
            </w:r>
          </w:p>
        </w:tc>
        <w:tc>
          <w:tcPr>
            <w:tcW w:w="453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2231313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517300,2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2231322</w:t>
            </w:r>
          </w:p>
        </w:tc>
      </w:tr>
      <w:tr w:rsidR="0035003F">
        <w:tc>
          <w:tcPr>
            <w:tcW w:w="907" w:type="dxa"/>
          </w:tcPr>
          <w:p w:rsidR="0035003F" w:rsidRDefault="0035003F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517245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2231141</w:t>
            </w:r>
          </w:p>
        </w:tc>
      </w:tr>
      <w:tr w:rsidR="0035003F">
        <w:tc>
          <w:tcPr>
            <w:tcW w:w="907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517375,3</w:t>
            </w:r>
          </w:p>
        </w:tc>
        <w:tc>
          <w:tcPr>
            <w:tcW w:w="4535" w:type="dxa"/>
          </w:tcPr>
          <w:p w:rsidR="0035003F" w:rsidRDefault="0035003F">
            <w:pPr>
              <w:pStyle w:val="ConsPlusNormal"/>
              <w:jc w:val="center"/>
            </w:pPr>
            <w:r>
              <w:t>2231101</w:t>
            </w:r>
          </w:p>
        </w:tc>
      </w:tr>
    </w:tbl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>1.2.2</w:t>
      </w:r>
      <w:proofErr w:type="gramStart"/>
      <w:r>
        <w:t>. подзона</w:t>
      </w:r>
      <w:proofErr w:type="gramEnd"/>
      <w:r>
        <w:t xml:space="preserve"> 2 (ЗРЗ-49И-2) устанавливается по западной и северной границам кадастрового квартала N 59:01:4410123, южным границам земельных участков с кадастровыми номерами 59:01:4410123:19, 59:01:4410123:29, западной границе объекта капитального строительства с кадастровым номером 59:01:4410123:586.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35003F" w:rsidRDefault="0035003F">
      <w:pPr>
        <w:pStyle w:val="ConsPlusNormal"/>
        <w:jc w:val="center"/>
      </w:pPr>
      <w:r>
        <w:t>МСК-59</w:t>
      </w:r>
    </w:p>
    <w:p w:rsidR="0035003F" w:rsidRDefault="003500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685"/>
        <w:gridCol w:w="4574"/>
      </w:tblGrid>
      <w:tr w:rsidR="0035003F">
        <w:tc>
          <w:tcPr>
            <w:tcW w:w="79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85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7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Y</w:t>
            </w:r>
          </w:p>
        </w:tc>
      </w:tr>
      <w:tr w:rsidR="0035003F">
        <w:tc>
          <w:tcPr>
            <w:tcW w:w="79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7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3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517406,3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2231091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517423,5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2231142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517410,9</w:t>
            </w:r>
          </w:p>
        </w:tc>
        <w:tc>
          <w:tcPr>
            <w:tcW w:w="457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2231146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517391,9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2231153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517385,5</w:t>
            </w:r>
          </w:p>
        </w:tc>
        <w:tc>
          <w:tcPr>
            <w:tcW w:w="457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2231155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517384,3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2231151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517383,9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2231150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517378,2</w:t>
            </w:r>
          </w:p>
        </w:tc>
        <w:tc>
          <w:tcPr>
            <w:tcW w:w="457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2231132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517385,3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2231130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517381,7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2231119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517378,9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2231111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517375,3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2231101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517406,3</w:t>
            </w:r>
          </w:p>
        </w:tc>
        <w:tc>
          <w:tcPr>
            <w:tcW w:w="4574" w:type="dxa"/>
          </w:tcPr>
          <w:p w:rsidR="0035003F" w:rsidRDefault="0035003F">
            <w:pPr>
              <w:pStyle w:val="ConsPlusNormal"/>
              <w:jc w:val="center"/>
            </w:pPr>
            <w:r>
              <w:t>2231091</w:t>
            </w:r>
          </w:p>
        </w:tc>
      </w:tr>
    </w:tbl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>1.2.3</w:t>
      </w:r>
      <w:proofErr w:type="gramStart"/>
      <w:r>
        <w:t>. подзона</w:t>
      </w:r>
      <w:proofErr w:type="gramEnd"/>
      <w:r>
        <w:t xml:space="preserve"> 3 (ЗРЗ-49И-3) устанавливается по северной границе кадастрового квартала N 59:01:4410123, восточной, южной и западной границам северного объема объекта капитального строительства с кадастровым номером 59:01:4410123:586.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35003F" w:rsidRDefault="0035003F">
      <w:pPr>
        <w:pStyle w:val="ConsPlusNormal"/>
        <w:jc w:val="center"/>
      </w:pPr>
      <w:r>
        <w:t>МСК-59</w:t>
      </w:r>
    </w:p>
    <w:p w:rsidR="0035003F" w:rsidRDefault="003500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628"/>
        <w:gridCol w:w="4584"/>
      </w:tblGrid>
      <w:tr w:rsidR="0035003F">
        <w:tc>
          <w:tcPr>
            <w:tcW w:w="850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28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8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Y</w:t>
            </w:r>
          </w:p>
        </w:tc>
      </w:tr>
      <w:tr w:rsidR="0035003F">
        <w:tc>
          <w:tcPr>
            <w:tcW w:w="850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3</w:t>
            </w:r>
          </w:p>
        </w:tc>
      </w:tr>
      <w:tr w:rsidR="0035003F">
        <w:tc>
          <w:tcPr>
            <w:tcW w:w="850" w:type="dxa"/>
          </w:tcPr>
          <w:p w:rsidR="0035003F" w:rsidRDefault="0035003F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517436,7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2231182</w:t>
            </w:r>
          </w:p>
        </w:tc>
      </w:tr>
      <w:tr w:rsidR="0035003F">
        <w:tc>
          <w:tcPr>
            <w:tcW w:w="850" w:type="dxa"/>
          </w:tcPr>
          <w:p w:rsidR="0035003F" w:rsidRDefault="0035003F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517424,3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2231186</w:t>
            </w:r>
          </w:p>
        </w:tc>
      </w:tr>
      <w:tr w:rsidR="0035003F">
        <w:tc>
          <w:tcPr>
            <w:tcW w:w="850" w:type="dxa"/>
          </w:tcPr>
          <w:p w:rsidR="0035003F" w:rsidRDefault="0035003F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517386,9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2231198</w:t>
            </w:r>
          </w:p>
        </w:tc>
      </w:tr>
      <w:tr w:rsidR="0035003F">
        <w:tc>
          <w:tcPr>
            <w:tcW w:w="850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628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517378,2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2231172</w:t>
            </w:r>
          </w:p>
        </w:tc>
      </w:tr>
      <w:tr w:rsidR="0035003F">
        <w:tc>
          <w:tcPr>
            <w:tcW w:w="850" w:type="dxa"/>
          </w:tcPr>
          <w:p w:rsidR="0035003F" w:rsidRDefault="0035003F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517396,4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2231166</w:t>
            </w:r>
          </w:p>
        </w:tc>
      </w:tr>
      <w:tr w:rsidR="0035003F">
        <w:tc>
          <w:tcPr>
            <w:tcW w:w="850" w:type="dxa"/>
          </w:tcPr>
          <w:p w:rsidR="0035003F" w:rsidRDefault="0035003F">
            <w:pPr>
              <w:pStyle w:val="ConsPlusNormal"/>
              <w:jc w:val="center"/>
            </w:pPr>
            <w:r>
              <w:lastRenderedPageBreak/>
              <w:t>45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517391,9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2231153</w:t>
            </w:r>
          </w:p>
        </w:tc>
      </w:tr>
      <w:tr w:rsidR="0035003F">
        <w:tc>
          <w:tcPr>
            <w:tcW w:w="850" w:type="dxa"/>
          </w:tcPr>
          <w:p w:rsidR="0035003F" w:rsidRDefault="0035003F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517410,9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2231146</w:t>
            </w:r>
          </w:p>
        </w:tc>
      </w:tr>
      <w:tr w:rsidR="0035003F">
        <w:tc>
          <w:tcPr>
            <w:tcW w:w="850" w:type="dxa"/>
          </w:tcPr>
          <w:p w:rsidR="0035003F" w:rsidRDefault="0035003F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517423,5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2231142</w:t>
            </w:r>
          </w:p>
        </w:tc>
      </w:tr>
      <w:tr w:rsidR="0035003F">
        <w:tc>
          <w:tcPr>
            <w:tcW w:w="850" w:type="dxa"/>
          </w:tcPr>
          <w:p w:rsidR="0035003F" w:rsidRDefault="0035003F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628" w:type="dxa"/>
          </w:tcPr>
          <w:p w:rsidR="0035003F" w:rsidRDefault="0035003F">
            <w:pPr>
              <w:pStyle w:val="ConsPlusNormal"/>
              <w:jc w:val="center"/>
            </w:pPr>
            <w:r>
              <w:t>517436,7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2231182</w:t>
            </w:r>
          </w:p>
        </w:tc>
      </w:tr>
    </w:tbl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>1.2.4</w:t>
      </w:r>
      <w:proofErr w:type="gramStart"/>
      <w:r>
        <w:t>. подзона</w:t>
      </w:r>
      <w:proofErr w:type="gramEnd"/>
      <w:r>
        <w:t xml:space="preserve"> 4 (ЗРЗ-49И-4) устанавливается в остальной части зоны регулирования застройки и хозяйственной деятельности.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center"/>
      </w:pPr>
      <w:r>
        <w:t>Координаты поворотных точек в местной системе координат</w:t>
      </w:r>
    </w:p>
    <w:p w:rsidR="0035003F" w:rsidRDefault="0035003F">
      <w:pPr>
        <w:pStyle w:val="ConsPlusNormal"/>
        <w:jc w:val="center"/>
      </w:pPr>
      <w:r>
        <w:t>МСК-59</w:t>
      </w:r>
    </w:p>
    <w:p w:rsidR="0035003F" w:rsidRDefault="003500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685"/>
        <w:gridCol w:w="4584"/>
      </w:tblGrid>
      <w:tr w:rsidR="0035003F">
        <w:tc>
          <w:tcPr>
            <w:tcW w:w="79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85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8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Y</w:t>
            </w:r>
          </w:p>
        </w:tc>
      </w:tr>
      <w:tr w:rsidR="0035003F">
        <w:tc>
          <w:tcPr>
            <w:tcW w:w="79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84" w:type="dxa"/>
            <w:vAlign w:val="center"/>
          </w:tcPr>
          <w:p w:rsidR="0035003F" w:rsidRDefault="0035003F">
            <w:pPr>
              <w:pStyle w:val="ConsPlusNormal"/>
              <w:jc w:val="center"/>
            </w:pPr>
            <w:r>
              <w:t>3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517378,2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2231132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517383,9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2231150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517384,3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2231151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517385,5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2231155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517391,9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2231153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517396,4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2231166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517378,2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223172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517386,9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2231198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517424,3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2231186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517436,7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2231182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517454,9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2231236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517444,9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2231239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517430,6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2231244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517394,1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2231256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517399,2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2231273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517390,5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2231275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517381,2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2231279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517375,4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2231263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517345,7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2231274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517334,4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2231241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685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517363,3</w:t>
            </w:r>
          </w:p>
        </w:tc>
        <w:tc>
          <w:tcPr>
            <w:tcW w:w="458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2231231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517357,4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2231213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517381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2231206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517372,3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2231178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517359,5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2231138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517375,1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2231133</w:t>
            </w:r>
          </w:p>
        </w:tc>
      </w:tr>
      <w:tr w:rsidR="0035003F">
        <w:tc>
          <w:tcPr>
            <w:tcW w:w="794" w:type="dxa"/>
            <w:vAlign w:val="bottom"/>
          </w:tcPr>
          <w:p w:rsidR="0035003F" w:rsidRDefault="003500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517375,5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2231133</w:t>
            </w:r>
          </w:p>
        </w:tc>
      </w:tr>
      <w:tr w:rsidR="0035003F">
        <w:tc>
          <w:tcPr>
            <w:tcW w:w="794" w:type="dxa"/>
          </w:tcPr>
          <w:p w:rsidR="0035003F" w:rsidRDefault="003500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35003F" w:rsidRDefault="0035003F">
            <w:pPr>
              <w:pStyle w:val="ConsPlusNormal"/>
              <w:jc w:val="center"/>
            </w:pPr>
            <w:r>
              <w:t>517378,2</w:t>
            </w:r>
          </w:p>
        </w:tc>
        <w:tc>
          <w:tcPr>
            <w:tcW w:w="4584" w:type="dxa"/>
          </w:tcPr>
          <w:p w:rsidR="0035003F" w:rsidRDefault="0035003F">
            <w:pPr>
              <w:pStyle w:val="ConsPlusNormal"/>
              <w:jc w:val="center"/>
            </w:pPr>
            <w:r>
              <w:t>2231132</w:t>
            </w:r>
          </w:p>
        </w:tc>
      </w:tr>
    </w:tbl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 xml:space="preserve">1.3. Графическое </w:t>
      </w:r>
      <w:hyperlink w:anchor="P537">
        <w:r>
          <w:rPr>
            <w:color w:val="0000FF"/>
          </w:rPr>
          <w:t>изображение</w:t>
        </w:r>
      </w:hyperlink>
      <w:r>
        <w:t xml:space="preserve"> границ зоны охраны объекта культурного наследия регионального значения - памятника "Училище женское начальное" представлено в приложении к настоящим границам зон охраны.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Title"/>
        <w:jc w:val="center"/>
        <w:outlineLvl w:val="1"/>
      </w:pPr>
      <w:r>
        <w:t>II. Режимы использования земель, земельных участков</w:t>
      </w:r>
    </w:p>
    <w:p w:rsidR="0035003F" w:rsidRDefault="0035003F">
      <w:pPr>
        <w:pStyle w:val="ConsPlusTitle"/>
        <w:jc w:val="center"/>
      </w:pPr>
      <w:proofErr w:type="gramStart"/>
      <w:r>
        <w:t>и</w:t>
      </w:r>
      <w:proofErr w:type="gramEnd"/>
      <w:r>
        <w:t xml:space="preserve"> требования к градостроительным регламентам в границах зоны</w:t>
      </w:r>
    </w:p>
    <w:p w:rsidR="0035003F" w:rsidRDefault="0035003F">
      <w:pPr>
        <w:pStyle w:val="ConsPlusTitle"/>
        <w:jc w:val="center"/>
      </w:pPr>
      <w:proofErr w:type="gramStart"/>
      <w:r>
        <w:t>охраны</w:t>
      </w:r>
      <w:proofErr w:type="gramEnd"/>
      <w:r>
        <w:t xml:space="preserve"> объекта культурного наследия регионального</w:t>
      </w:r>
    </w:p>
    <w:p w:rsidR="0035003F" w:rsidRDefault="0035003F">
      <w:pPr>
        <w:pStyle w:val="ConsPlusTitle"/>
        <w:jc w:val="center"/>
      </w:pPr>
      <w:proofErr w:type="gramStart"/>
      <w:r>
        <w:t>значения</w:t>
      </w:r>
      <w:proofErr w:type="gramEnd"/>
      <w:r>
        <w:t xml:space="preserve"> - памятника "Училище женское начальное"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ind w:firstLine="540"/>
        <w:jc w:val="both"/>
      </w:pPr>
      <w:r>
        <w:t>2.1. В зоне регулирования застройки и хозяйственной деятельности (ЗРЗ-49И) объекта культурного наследия устанавливаются: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2.1.1</w:t>
      </w:r>
      <w:proofErr w:type="gramStart"/>
      <w:r>
        <w:t>. предельные</w:t>
      </w:r>
      <w:proofErr w:type="gramEnd"/>
      <w:r>
        <w:t xml:space="preserve"> размеры земельных участков в соответствии с установленными Правилами землепользования и застройки г. Перми градостроительными регламентами территориальных зон;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2.1.2</w:t>
      </w:r>
      <w:proofErr w:type="gramStart"/>
      <w:r>
        <w:t>. предельная</w:t>
      </w:r>
      <w:proofErr w:type="gramEnd"/>
      <w:r>
        <w:t xml:space="preserve"> высота объектов капитального строительства: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2.1.2.1</w:t>
      </w:r>
      <w:proofErr w:type="gramStart"/>
      <w:r>
        <w:t>. в</w:t>
      </w:r>
      <w:proofErr w:type="gramEnd"/>
      <w:r>
        <w:t xml:space="preserve"> подзоне 1 (ЗРЗ-49И-1) - 18,0 м;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2.1.2.2</w:t>
      </w:r>
      <w:proofErr w:type="gramStart"/>
      <w:r>
        <w:t>. в</w:t>
      </w:r>
      <w:proofErr w:type="gramEnd"/>
      <w:r>
        <w:t xml:space="preserve"> подзоне 2 (ЗРЗ-49И-2) - 21,0 м;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2.1.2.3</w:t>
      </w:r>
      <w:proofErr w:type="gramStart"/>
      <w:r>
        <w:t>. в</w:t>
      </w:r>
      <w:proofErr w:type="gramEnd"/>
      <w:r>
        <w:t xml:space="preserve"> подзоне 3 (ЗРЗ-49И-3) - 35,0 м;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2.1.2.4</w:t>
      </w:r>
      <w:proofErr w:type="gramStart"/>
      <w:r>
        <w:t>. в</w:t>
      </w:r>
      <w:proofErr w:type="gramEnd"/>
      <w:r>
        <w:t xml:space="preserve"> подзоне 4 (ЗРЗ-49И-4) - 25,0 м;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2.1.3</w:t>
      </w:r>
      <w:proofErr w:type="gramStart"/>
      <w:r>
        <w:t>. предельно</w:t>
      </w:r>
      <w:proofErr w:type="gramEnd"/>
      <w:r>
        <w:t xml:space="preserve"> допустимый выступ элементов зданий и сооружений из плоскости наружной стены фасада здания (крыльца, навесы, эркеры, балконы) за историческую линию застройки - не более 1,2 м;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2.1.4</w:t>
      </w:r>
      <w:proofErr w:type="gramStart"/>
      <w:r>
        <w:t>. ограничения</w:t>
      </w:r>
      <w:proofErr w:type="gramEnd"/>
      <w:r>
        <w:t xml:space="preserve"> использования земельных участков и объектов капитального строительства: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2.1.4.1</w:t>
      </w:r>
      <w:proofErr w:type="gramStart"/>
      <w:r>
        <w:t>. запрещается</w:t>
      </w:r>
      <w:proofErr w:type="gramEnd"/>
      <w:r>
        <w:t xml:space="preserve"> применение технических средств, создающих динамическое, ударное или ударно-вибрационное воздействие на основания и конструкции зданий и сооружений;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2.1.4.2</w:t>
      </w:r>
      <w:proofErr w:type="gramStart"/>
      <w:r>
        <w:t>. ограничения</w:t>
      </w:r>
      <w:proofErr w:type="gramEnd"/>
      <w:r>
        <w:t xml:space="preserve"> использования фасадов, расположенных вдоль исторических линий застройки, а также боковых фасадов, примыкающих к историческим линиям застройки:</w:t>
      </w:r>
    </w:p>
    <w:p w:rsidR="0035003F" w:rsidRDefault="0035003F">
      <w:pPr>
        <w:pStyle w:val="ConsPlusNormal"/>
        <w:spacing w:before="220"/>
        <w:ind w:firstLine="540"/>
        <w:jc w:val="both"/>
      </w:pPr>
      <w:proofErr w:type="gramStart"/>
      <w:r>
        <w:t>запрещается</w:t>
      </w:r>
      <w:proofErr w:type="gramEnd"/>
      <w:r>
        <w:t xml:space="preserve"> размещение антенн, наружных блоков вентиляции и кондиционирования, </w:t>
      </w:r>
      <w:r>
        <w:lastRenderedPageBreak/>
        <w:t>вентиляционных труб, элементов систем газоснабжения и других технологических элементов зданий и сооружений. Антенны, наружные блоки вентиляции и кондиционирования, вентиляционные трубы, элементы системы газоснабжения и другие технологические элементы зданий и сооружений могут размещаться на кровле объектов капитального строительства компактными упорядоченными группами с использованием единой несущей основы, в том числе с устройством ограждения, а также на фасадах, не обращенных к историческим линиям застройки и не примыкающих к ним;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2.1.4.3</w:t>
      </w:r>
      <w:proofErr w:type="gramStart"/>
      <w:r>
        <w:t>. ограничения</w:t>
      </w:r>
      <w:proofErr w:type="gramEnd"/>
      <w:r>
        <w:t xml:space="preserve"> размещения рекламных конструкций и вывесок в границах зоны регулирования застройки и хозяйственной деятельности: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2.1.4.3.1</w:t>
      </w:r>
      <w:proofErr w:type="gramStart"/>
      <w:r>
        <w:t>. отдельно</w:t>
      </w:r>
      <w:proofErr w:type="gramEnd"/>
      <w:r>
        <w:t xml:space="preserve"> стоящие рекламные конструкции и (или) рекламные конструкции, монтируемые на столбах освещения, электрических сетей и сетей связи, могут размещаться на расстоянии не менее 25 м от перекрестка, на расстоянии не менее 100 м друг от друга;</w:t>
      </w:r>
    </w:p>
    <w:p w:rsidR="0035003F" w:rsidRDefault="0035003F">
      <w:pPr>
        <w:pStyle w:val="ConsPlusNormal"/>
        <w:spacing w:before="220"/>
        <w:ind w:firstLine="540"/>
        <w:jc w:val="both"/>
      </w:pPr>
      <w:r>
        <w:t>2.1.4.3.2</w:t>
      </w:r>
      <w:proofErr w:type="gramStart"/>
      <w:r>
        <w:t>. запрещается</w:t>
      </w:r>
      <w:proofErr w:type="gramEnd"/>
      <w:r>
        <w:t xml:space="preserve"> размещение рекламных конструкций и вывесок с размером информационного поля, превышающим 1,2 м по короткой стороне или 1,8 м по длинной стороне, за исключением вывесок в виде отдельных накладных букв без использования подложки, размещаемых на фасадах.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right"/>
        <w:outlineLvl w:val="1"/>
      </w:pPr>
      <w:r>
        <w:t>Приложение</w:t>
      </w:r>
    </w:p>
    <w:p w:rsidR="0035003F" w:rsidRDefault="0035003F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границам</w:t>
      </w:r>
    </w:p>
    <w:p w:rsidR="0035003F" w:rsidRDefault="0035003F">
      <w:pPr>
        <w:pStyle w:val="ConsPlusNormal"/>
        <w:jc w:val="right"/>
      </w:pPr>
      <w:proofErr w:type="gramStart"/>
      <w:r>
        <w:t>зоны</w:t>
      </w:r>
      <w:proofErr w:type="gramEnd"/>
      <w:r>
        <w:t xml:space="preserve"> охраны объекта культурного</w:t>
      </w:r>
    </w:p>
    <w:p w:rsidR="0035003F" w:rsidRDefault="0035003F">
      <w:pPr>
        <w:pStyle w:val="ConsPlusNormal"/>
        <w:jc w:val="right"/>
      </w:pPr>
      <w:proofErr w:type="gramStart"/>
      <w:r>
        <w:t>наследия</w:t>
      </w:r>
      <w:proofErr w:type="gramEnd"/>
      <w:r>
        <w:t xml:space="preserve"> регионального значения -</w:t>
      </w:r>
    </w:p>
    <w:p w:rsidR="0035003F" w:rsidRDefault="0035003F">
      <w:pPr>
        <w:pStyle w:val="ConsPlusNormal"/>
        <w:jc w:val="right"/>
      </w:pPr>
      <w:proofErr w:type="gramStart"/>
      <w:r>
        <w:t>памятника</w:t>
      </w:r>
      <w:proofErr w:type="gramEnd"/>
      <w:r>
        <w:t xml:space="preserve"> "Училище женское начальное",</w:t>
      </w:r>
    </w:p>
    <w:p w:rsidR="0035003F" w:rsidRDefault="0035003F">
      <w:pPr>
        <w:pStyle w:val="ConsPlusNormal"/>
        <w:jc w:val="right"/>
      </w:pPr>
      <w:proofErr w:type="gramStart"/>
      <w:r>
        <w:t>расположенного</w:t>
      </w:r>
      <w:proofErr w:type="gramEnd"/>
      <w:r>
        <w:t xml:space="preserve"> по адресу:</w:t>
      </w:r>
    </w:p>
    <w:p w:rsidR="0035003F" w:rsidRDefault="0035003F">
      <w:pPr>
        <w:pStyle w:val="ConsPlusNormal"/>
        <w:jc w:val="right"/>
      </w:pPr>
      <w:r>
        <w:t>Пермский край, г. Пермь,</w:t>
      </w:r>
    </w:p>
    <w:p w:rsidR="0035003F" w:rsidRDefault="0035003F">
      <w:pPr>
        <w:pStyle w:val="ConsPlusNormal"/>
        <w:jc w:val="right"/>
      </w:pPr>
      <w:r>
        <w:t>ул. Попова, д. 50, а также режимам</w:t>
      </w:r>
    </w:p>
    <w:p w:rsidR="0035003F" w:rsidRDefault="0035003F">
      <w:pPr>
        <w:pStyle w:val="ConsPlusNormal"/>
        <w:jc w:val="right"/>
      </w:pPr>
      <w:proofErr w:type="gramStart"/>
      <w:r>
        <w:t>использования</w:t>
      </w:r>
      <w:proofErr w:type="gramEnd"/>
      <w:r>
        <w:t xml:space="preserve"> земель, земельных</w:t>
      </w:r>
    </w:p>
    <w:p w:rsidR="0035003F" w:rsidRDefault="0035003F">
      <w:pPr>
        <w:pStyle w:val="ConsPlusNormal"/>
        <w:jc w:val="right"/>
      </w:pPr>
      <w:proofErr w:type="gramStart"/>
      <w:r>
        <w:t>участков</w:t>
      </w:r>
      <w:proofErr w:type="gramEnd"/>
      <w:r>
        <w:t xml:space="preserve"> и требованиям</w:t>
      </w:r>
    </w:p>
    <w:p w:rsidR="0035003F" w:rsidRDefault="0035003F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градостроительным регламентам</w:t>
      </w:r>
    </w:p>
    <w:p w:rsidR="0035003F" w:rsidRDefault="0035003F">
      <w:pPr>
        <w:pStyle w:val="ConsPlusNormal"/>
        <w:jc w:val="right"/>
      </w:pPr>
      <w:proofErr w:type="gramStart"/>
      <w:r>
        <w:t>в</w:t>
      </w:r>
      <w:proofErr w:type="gramEnd"/>
      <w:r>
        <w:t xml:space="preserve"> границах данной зоны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Title"/>
        <w:jc w:val="center"/>
      </w:pPr>
      <w:bookmarkStart w:id="2" w:name="P537"/>
      <w:bookmarkEnd w:id="2"/>
      <w:r>
        <w:t>ГРАФИЧЕСКОЕ ИЗОБРАЖЕНИЕ</w:t>
      </w:r>
    </w:p>
    <w:p w:rsidR="0035003F" w:rsidRDefault="0035003F">
      <w:pPr>
        <w:pStyle w:val="ConsPlusTitle"/>
        <w:jc w:val="center"/>
      </w:pPr>
      <w:proofErr w:type="gramStart"/>
      <w:r>
        <w:t>границ</w:t>
      </w:r>
      <w:proofErr w:type="gramEnd"/>
      <w:r>
        <w:t xml:space="preserve"> зоны охраны объекта культурного наследия</w:t>
      </w:r>
    </w:p>
    <w:p w:rsidR="0035003F" w:rsidRDefault="0035003F">
      <w:pPr>
        <w:pStyle w:val="ConsPlusTitle"/>
        <w:jc w:val="center"/>
      </w:pPr>
      <w:proofErr w:type="gramStart"/>
      <w:r>
        <w:t>регионального</w:t>
      </w:r>
      <w:proofErr w:type="gramEnd"/>
      <w:r>
        <w:t xml:space="preserve"> значения - памятника "Училище женское</w:t>
      </w:r>
    </w:p>
    <w:p w:rsidR="0035003F" w:rsidRDefault="0035003F">
      <w:pPr>
        <w:pStyle w:val="ConsPlusTitle"/>
        <w:jc w:val="center"/>
      </w:pPr>
      <w:proofErr w:type="gramStart"/>
      <w:r>
        <w:t>начальное</w:t>
      </w:r>
      <w:proofErr w:type="gramEnd"/>
      <w:r>
        <w:t>", расположенного по адресу: Пермский край,</w:t>
      </w:r>
    </w:p>
    <w:p w:rsidR="0035003F" w:rsidRDefault="0035003F">
      <w:pPr>
        <w:pStyle w:val="ConsPlusTitle"/>
        <w:jc w:val="center"/>
      </w:pPr>
      <w:r>
        <w:t>г. Пермь, ул. Попова, д. 50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center"/>
      </w:pPr>
      <w:r>
        <w:rPr>
          <w:noProof/>
          <w:position w:val="-616"/>
        </w:rPr>
        <w:lastRenderedPageBreak/>
        <w:drawing>
          <wp:inline distT="0" distB="0" distL="0" distR="0">
            <wp:extent cx="4767580" cy="79743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580" cy="797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right"/>
        <w:outlineLvl w:val="0"/>
      </w:pPr>
      <w:r>
        <w:t>Приложение</w:t>
      </w:r>
    </w:p>
    <w:p w:rsidR="0035003F" w:rsidRDefault="0035003F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</w:t>
      </w:r>
    </w:p>
    <w:p w:rsidR="0035003F" w:rsidRDefault="0035003F">
      <w:pPr>
        <w:pStyle w:val="ConsPlusNormal"/>
        <w:jc w:val="right"/>
      </w:pPr>
      <w:r>
        <w:lastRenderedPageBreak/>
        <w:t>Правительства</w:t>
      </w:r>
    </w:p>
    <w:p w:rsidR="0035003F" w:rsidRDefault="0035003F">
      <w:pPr>
        <w:pStyle w:val="ConsPlusNormal"/>
        <w:jc w:val="right"/>
      </w:pPr>
      <w:r>
        <w:t>Пермского края</w:t>
      </w:r>
    </w:p>
    <w:p w:rsidR="0035003F" w:rsidRDefault="0035003F">
      <w:pPr>
        <w:pStyle w:val="ConsPlusNormal"/>
        <w:jc w:val="right"/>
      </w:pPr>
      <w:proofErr w:type="gramStart"/>
      <w:r>
        <w:t>от</w:t>
      </w:r>
      <w:proofErr w:type="gramEnd"/>
      <w:r>
        <w:t xml:space="preserve"> 20.04.2022 N 334-п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right"/>
      </w:pPr>
      <w:r>
        <w:t>"Приложение 1</w:t>
      </w:r>
    </w:p>
    <w:p w:rsidR="0035003F" w:rsidRDefault="0035003F">
      <w:pPr>
        <w:pStyle w:val="ConsPlusNormal"/>
        <w:jc w:val="right"/>
      </w:pPr>
      <w:proofErr w:type="gramStart"/>
      <w:r>
        <w:t>к</w:t>
      </w:r>
      <w:proofErr w:type="gramEnd"/>
      <w:r>
        <w:t xml:space="preserve"> границам зон охраны объектов</w:t>
      </w:r>
    </w:p>
    <w:p w:rsidR="0035003F" w:rsidRDefault="0035003F">
      <w:pPr>
        <w:pStyle w:val="ConsPlusNormal"/>
        <w:jc w:val="right"/>
      </w:pPr>
      <w:proofErr w:type="gramStart"/>
      <w:r>
        <w:t>культурного</w:t>
      </w:r>
      <w:proofErr w:type="gramEnd"/>
      <w:r>
        <w:t xml:space="preserve"> наследия, расположенных</w:t>
      </w:r>
    </w:p>
    <w:p w:rsidR="0035003F" w:rsidRDefault="0035003F">
      <w:pPr>
        <w:pStyle w:val="ConsPlusNormal"/>
        <w:jc w:val="right"/>
      </w:pPr>
      <w:proofErr w:type="gramStart"/>
      <w:r>
        <w:t>на</w:t>
      </w:r>
      <w:proofErr w:type="gramEnd"/>
      <w:r>
        <w:t xml:space="preserve"> территории Ленинского и</w:t>
      </w:r>
    </w:p>
    <w:p w:rsidR="0035003F" w:rsidRDefault="0035003F">
      <w:pPr>
        <w:pStyle w:val="ConsPlusNormal"/>
        <w:jc w:val="right"/>
      </w:pPr>
      <w:r>
        <w:t>Свердловского районов г. Перми,</w:t>
      </w:r>
    </w:p>
    <w:p w:rsidR="0035003F" w:rsidRDefault="0035003F">
      <w:pPr>
        <w:pStyle w:val="ConsPlusNormal"/>
        <w:jc w:val="right"/>
      </w:pPr>
      <w:proofErr w:type="gramStart"/>
      <w:r>
        <w:t>ограниченной</w:t>
      </w:r>
      <w:proofErr w:type="gramEnd"/>
      <w:r>
        <w:t xml:space="preserve"> улицами Революции,</w:t>
      </w:r>
    </w:p>
    <w:p w:rsidR="0035003F" w:rsidRDefault="0035003F">
      <w:pPr>
        <w:pStyle w:val="ConsPlusNormal"/>
        <w:jc w:val="right"/>
      </w:pPr>
      <w:r>
        <w:t>Попова, Пермской, Куйбышева, а также</w:t>
      </w:r>
    </w:p>
    <w:p w:rsidR="0035003F" w:rsidRDefault="0035003F">
      <w:pPr>
        <w:pStyle w:val="ConsPlusNormal"/>
        <w:jc w:val="right"/>
      </w:pPr>
      <w:proofErr w:type="gramStart"/>
      <w:r>
        <w:t>режимам</w:t>
      </w:r>
      <w:proofErr w:type="gramEnd"/>
      <w:r>
        <w:t xml:space="preserve"> использования земель и</w:t>
      </w:r>
    </w:p>
    <w:p w:rsidR="0035003F" w:rsidRDefault="0035003F">
      <w:pPr>
        <w:pStyle w:val="ConsPlusNormal"/>
        <w:jc w:val="right"/>
      </w:pPr>
      <w:proofErr w:type="gramStart"/>
      <w:r>
        <w:t>требованиям</w:t>
      </w:r>
      <w:proofErr w:type="gramEnd"/>
      <w:r>
        <w:t xml:space="preserve"> к градостроительным</w:t>
      </w:r>
    </w:p>
    <w:p w:rsidR="0035003F" w:rsidRDefault="0035003F">
      <w:pPr>
        <w:pStyle w:val="ConsPlusNormal"/>
        <w:jc w:val="right"/>
      </w:pPr>
      <w:proofErr w:type="gramStart"/>
      <w:r>
        <w:t>регламентам</w:t>
      </w:r>
      <w:proofErr w:type="gramEnd"/>
      <w:r>
        <w:t xml:space="preserve"> в границах данных зон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Title"/>
        <w:jc w:val="center"/>
      </w:pPr>
      <w:bookmarkStart w:id="3" w:name="P566"/>
      <w:bookmarkEnd w:id="3"/>
      <w:r>
        <w:t>ГРАФИЧЕСКОЕ ИЗОБРАЖЕНИЕ</w:t>
      </w:r>
    </w:p>
    <w:p w:rsidR="0035003F" w:rsidRDefault="0035003F">
      <w:pPr>
        <w:pStyle w:val="ConsPlusTitle"/>
        <w:jc w:val="center"/>
      </w:pPr>
      <w:proofErr w:type="gramStart"/>
      <w:r>
        <w:t>границ</w:t>
      </w:r>
      <w:proofErr w:type="gramEnd"/>
      <w:r>
        <w:t xml:space="preserve"> зон охраны объектов культурного наследия,</w:t>
      </w:r>
    </w:p>
    <w:p w:rsidR="0035003F" w:rsidRDefault="0035003F">
      <w:pPr>
        <w:pStyle w:val="ConsPlusTitle"/>
        <w:jc w:val="center"/>
      </w:pPr>
      <w:proofErr w:type="gramStart"/>
      <w:r>
        <w:t>расположенных</w:t>
      </w:r>
      <w:proofErr w:type="gramEnd"/>
      <w:r>
        <w:t xml:space="preserve"> на территории Ленинского и Свердловского</w:t>
      </w:r>
    </w:p>
    <w:p w:rsidR="0035003F" w:rsidRDefault="0035003F">
      <w:pPr>
        <w:pStyle w:val="ConsPlusTitle"/>
        <w:jc w:val="center"/>
      </w:pPr>
      <w:proofErr w:type="gramStart"/>
      <w:r>
        <w:t>районов</w:t>
      </w:r>
      <w:proofErr w:type="gramEnd"/>
      <w:r>
        <w:t xml:space="preserve"> г. Перми, ограниченной улицами Революции, Попова,</w:t>
      </w:r>
    </w:p>
    <w:p w:rsidR="0035003F" w:rsidRDefault="0035003F">
      <w:pPr>
        <w:pStyle w:val="ConsPlusTitle"/>
        <w:jc w:val="center"/>
      </w:pPr>
      <w:r>
        <w:t>Пермской, Куйбышева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center"/>
      </w:pPr>
      <w:r>
        <w:rPr>
          <w:noProof/>
          <w:position w:val="-594"/>
        </w:rPr>
        <w:lastRenderedPageBreak/>
        <w:drawing>
          <wp:inline distT="0" distB="0" distL="0" distR="0">
            <wp:extent cx="5344795" cy="76917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769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</w:t>
      </w: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jc w:val="both"/>
      </w:pPr>
    </w:p>
    <w:p w:rsidR="0035003F" w:rsidRDefault="003500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4" w:name="_GoBack"/>
      <w:bookmarkEnd w:id="4"/>
    </w:p>
    <w:sectPr w:rsidR="00FC0652" w:rsidSect="00982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03F"/>
    <w:rsid w:val="0035003F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A41D8-C00C-4DBF-97F9-024ADF8D1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00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500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500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C698EEFE016604D0E887D0A4C7D86C6E4B46729BF30A727827437DD3A4BA9A2D30228B337457BDAED0563198F7A2926356EF4B924FG7N0G" TargetMode="External"/><Relationship Id="rId13" Type="http://schemas.openxmlformats.org/officeDocument/2006/relationships/hyperlink" Target="consultantplus://offline/ref=EFC698EEFE016604D0E899DDB2AB856762441A7B98F609202372452A8CF4BCCF6D7024DE78305DB7FA8112629DFDF4DD270AFC48905373B0EFBD30F4GEN4G" TargetMode="External"/><Relationship Id="rId1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C698EEFE016604D0E899DDB2AB856762441A7B98F307212071452A8CF4BCCF6D7024DE78305DB7FA81106790FDF4DD270AFC48905373B0EFBD30F4GEN4G" TargetMode="External"/><Relationship Id="rId12" Type="http://schemas.openxmlformats.org/officeDocument/2006/relationships/hyperlink" Target="consultantplus://offline/ref=EFC698EEFE016604D0E899DDB2AB856762441A7B98F609202372452A8CF4BCCF6D7024DE78305DB7FA81126597FDF4DD270AFC48905373B0EFBD30F4GEN4G" TargetMode="External"/><Relationship Id="rId1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FC698EEFE016604D0E899DDB2AB856762441A7B98F609202372452A8CF4BCCF6D7024DE78305DB7FA81146790FDF4DD270AFC48905373B0EFBD30F4GEN4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C698EEFE016604D0E887D0A4C7D86C69464D749CF00A727827437DD3A4BA9A2D30228B3B7450B3F38A4635D1A3AD8D6141F1408C4F73BBGFN2G" TargetMode="External"/><Relationship Id="rId11" Type="http://schemas.openxmlformats.org/officeDocument/2006/relationships/hyperlink" Target="consultantplus://offline/ref=EFC698EEFE016604D0E899DDB2AB856762441A7B98F609202372452A8CF4BCCF6D7024DE78305DB7FA81146097FDF4DD270AFC48905373B0EFBD30F4GEN4G" TargetMode="External"/><Relationship Id="rId5" Type="http://schemas.openxmlformats.org/officeDocument/2006/relationships/hyperlink" Target="consultantplus://offline/ref=EFC698EEFE016604D0E887D0A4C7D86C6E4A467F90F50A727827437DD3A4BA9A3F307A873A764EB6F39F106497GFN5G" TargetMode="External"/><Relationship Id="rId15" Type="http://schemas.openxmlformats.org/officeDocument/2006/relationships/hyperlink" Target="consultantplus://offline/ref=EFC698EEFE016604D0E899DDB2AB856762441A7B98F609202372452A8CF4BCCF6D7024DE78305DB7FA81146796FDF4DD270AFC48905373B0EFBD30F4GEN4G" TargetMode="External"/><Relationship Id="rId10" Type="http://schemas.openxmlformats.org/officeDocument/2006/relationships/hyperlink" Target="consultantplus://offline/ref=EFC698EEFE016604D0E899DDB2AB856762441A7B98F609202372452A8CF4BCCF6D7024DE6A3005BBFB830C649CE8A28C61G5NC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FC698EEFE016604D0E887D0A4C7D86C6E4B46729BF30A727827437DD3A4BA9A3F307A873A764EB6F39F106497GFN5G" TargetMode="External"/><Relationship Id="rId14" Type="http://schemas.openxmlformats.org/officeDocument/2006/relationships/hyperlink" Target="consultantplus://offline/ref=EFC698EEFE016604D0E899DDB2AB856762441A7B98F609202372452A8CF4BCCF6D7024DE78305DB7FA8116619CFDF4DD270AFC48905373B0EFBD30F4GEN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2023-09-12T06:13:00Z</dcterms:created>
  <dcterms:modified xsi:type="dcterms:W3CDTF">2023-09-12T06:13:00Z</dcterms:modified>
</cp:coreProperties>
</file>